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ErsDiG — Ordnungswidrigkeiten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 ihm nach § 23 Abs. 4 Satz 1 oder 2 während der Zivildienstüberwachung obliegende Pflicht verletzt oder</w:t>
      </w:r>
    </w:p>
    <w:p>
      <w:pPr>
        <w:ind w:left="420"/>
      </w:pPr>
      <w:r>
        <w:t xml:space="preserve">2. der in § 39 Abs. 2 Satz 1 bestimmten Pflicht, sich zu einer angeordneten Untersuchung vorzustellen und diese zu erdulden, zuwiderhandelt.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Abs. 1 Nr. 1 des Gesetzes über Ordnungswidrigkeiten ist das Bundesamt.</w:t>
      </w:r>
    </w:p>
    <w:p>
      <w:r>
        <w:rPr>
          <w:color w:val="555555"/>
          <w:sz w:val="17"/>
        </w:rPr>
        <w:t xml:space="preserve">Zitiervorschlag: § 57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