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45a ErsDiG — Mitteilungen in Strafsachen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In Strafsachen gegen Zivildienstleistende gilt § 115 des Bundesbeamtengesetzes entsprechend.</w:t>
      </w:r>
    </w:p>
    <w:p>
      <w:r>
        <w:t xml:space="preserve">(2) Die Mitteilungen sind an das Bundesamt zu richten und als "Vertrauliche Personalsache" zu kennzeichnen.</w:t>
      </w:r>
    </w:p>
    <w:p>
      <w:r>
        <w:rPr>
          <w:color w:val="555555"/>
          <w:sz w:val="17"/>
        </w:rPr>
        <w:t xml:space="preserve">Zitiervorschlag: § 45a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https://recht.nulegal.eu/gesetze/ErsDiG/45a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