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ErsDiG — Anrechnung anderen Dienstes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Geleisteter Wehrdienst und auf Grund der Grenzschutzdienstpflicht geleisteter Grenzschutzdienst werden auf den Zivildienst angerechnet. Dies gilt nicht für Tage, an denen ein Dienstpflichtiger infolge</w:t>
      </w:r>
    </w:p>
    <w:p>
      <w:pPr>
        <w:ind w:left="420"/>
      </w:pPr>
      <w:r>
        <w:t xml:space="preserve">1. schuldhafter Abwesenheit vom Dienst,</w:t>
      </w:r>
    </w:p>
    <w:p>
      <w:pPr>
        <w:ind w:left="420"/>
      </w:pPr>
      <w:r>
        <w:t xml:space="preserve">2. schuldhafter Dienstverweigerung,</w:t>
      </w:r>
    </w:p>
    <w:p>
      <w:pPr>
        <w:ind w:left="420"/>
      </w:pPr>
      <w:r>
        <w:t xml:space="preserve">3. Aussetzung der Vollziehung des Einberufungsbescheides,</w:t>
      </w:r>
    </w:p>
    <w:p>
      <w:pPr>
        <w:ind w:left="420"/>
      </w:pPr>
      <w:r>
        <w:t xml:space="preserve">4. Beurlaubung unter Wegfall der Geld- und Sachbezüge, soweit diese Tage ohne die Anerkennung als Kriegsdienstverweigerer hätten nachgedient werden müssen,</w:t>
      </w:r>
    </w:p>
    <w:p>
      <w:pPr>
        <w:ind w:left="420"/>
      </w:pPr>
      <w:r>
        <w:t xml:space="preserve">5. Verbüßung von Freiheitsstrafe, Strafarrest, Jugendstrafe, Jugendarrest oder Disziplinararrest, soweit diese Tage ohne die Anerkennung als Kriegsdienstverweigerer hätten nachgedient werden müssen, oder</w:t>
      </w:r>
    </w:p>
    <w:p>
      <w:pPr>
        <w:ind w:left="420"/>
      </w:pPr>
      <w:r>
        <w:t xml:space="preserve">6. einer während des Dienstes erlittenen Untersuchungshaft, der eine rechtskräftige Verurteilung gefolgt ist,</w:t>
      </w:r>
    </w:p>
    <w:p>
      <w:r>
        <w:t xml:space="preserve">keinen Dienst geleistet hat.</w:t>
      </w:r>
    </w:p>
    <w:p>
      <w:r>
        <w:rPr>
          <w:color w:val="555555"/>
          <w:sz w:val="17"/>
        </w:rPr>
        <w:t xml:space="preserve">Zitiervorschlag: § 22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