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ErsDiG — Unabkömmlichstellung</w:t>
      </w:r>
    </w:p>
    <w:p>
      <w:r>
        <w:rPr>
          <w:color w:val="555555"/>
          <w:sz w:val="18"/>
        </w:rPr>
        <w:t xml:space="preserve">Zivildienstgesetz</w:t>
      </w:r>
    </w:p>
    <w:p>
      <w:r>
        <w:rPr>
          <w:color w:val="555555"/>
          <w:sz w:val="18"/>
        </w:rPr>
        <w:t xml:space="preserve">Stand: 02.12.2019 (konsolidierte Textfassung, kein amtliches Inkrafttretensdatum)</w:t>
      </w:r>
    </w:p>
    <w:p>
      <w:r>
        <w:t xml:space="preserve">(1) Zum Ausgleich des öffentlichen Interesses an der Heranziehung zum Zivildienst und desjenigen an der Deckung des personellen Kräftebedarfs für Aufgaben außerhalb des Zivildienstes kann ein Dienstpflichtiger im Spannungs- und Verteidigungsfall, wenn das letztgenannte öffentliche Interesse überwiegt, für den Zivildienst unabkömmlich gestellt werden, solange er für die von ihm außerhalb des Zivildienstes ausgeübte Tätigkeit nicht entbehrt werden kann.</w:t>
      </w:r>
    </w:p>
    <w:p>
      <w:r>
        <w:t xml:space="preserve">(2) Über die Unabkömmlichstellung wird auf Vorschlag der zuständigen Verwaltungsbehörde entschieden. Das Vorschlagsrecht steht auch den Kirchen und Religionsgemeinschaften, soweit sie Körperschaften des öffentlichen Rechts sind, für ihre Bediensteten zu. Für die Zuständigkeit und das Verfahren der Unabkömmlichstellung, die Befugnis zur Bestimmung der zuständigen Behörden, die Regelung des Vorschlagsrechts durch allgemeine Verwaltungsvorschrift des Landesrechts, den Ausgleich von Meinungsverschiedenheiten zwischen dem Bundesamt und der vorschlagenden Verwaltungsbehörde, die Zeiträume, für die eine Unabkömmlichstellung ausgesprochen werden kann, und die Anhörung sachverständiger Stellen ist die Verordnung über die Zuständigkeit und das Verfahren bei der Unabkömmlichstellung in der jeweils geltenden Fassung entsprechend anzuwenden.</w:t>
      </w:r>
    </w:p>
    <w:p>
      <w:r>
        <w:t xml:space="preserve">(3) Die Dienstbehörde oder der Arbeitgeber des Dienstpflichtigen ist verpflichtet, dem Bundesamt den Wegfall der Voraussetzungen für die Unabkömmlichstellung anzuzeigen. Dienstpflichtige, die in keinem Dienst- oder Arbeitsverhältnis stehen, haben den Wegfall der Voraussetzungen selbst anzuzeigen.</w:t>
      </w:r>
    </w:p>
    <w:p>
      <w:r>
        <w:rPr>
          <w:color w:val="555555"/>
          <w:sz w:val="17"/>
        </w:rPr>
        <w:t xml:space="preserve">Zitiervorschlag: § 16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