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14b ErsDiG — Andere Dienste im Ausland</w:t>
      </w:r>
    </w:p>
    <w:p>
      <w:r>
        <w:rPr>
          <w:color w:val="555555"/>
          <w:sz w:val="18"/>
        </w:rPr>
        <w:t xml:space="preserve">Zivildienstgesetz</w:t>
      </w:r>
    </w:p>
    <w:p>
      <w:r>
        <w:rPr>
          <w:color w:val="555555"/>
          <w:sz w:val="18"/>
        </w:rPr>
        <w:t xml:space="preserve">Stand: 02.12.2019 (konsolidierte Textfassung, kein amtliches Inkrafttretensdatum)</w:t>
      </w:r>
    </w:p>
    <w:p>
      <w:r>
        <w:t xml:space="preserve">(1) Anerkannte Kriegsdienstverweigerer werden nicht zum Zivildienst herangezogen, wenn sie</w:t>
      </w:r>
    </w:p>
    <w:p>
      <w:pPr>
        <w:ind w:left="420"/>
      </w:pPr>
      <w:r>
        <w:t xml:space="preserve">1. sich gegenüber einem nach Absatz 3 anerkannten Träger zur Leistung eines vor Vollendung des 23. Lebensjahres anzutretenden Dienstes im Ausland, der das friedliche Zusammenleben der Völker fördern will und der mindestens zwei Monate länger dauert als der Zivildienst, den sie sonst zu leisten hätten, vertraglich verpflichtet haben und</w:t>
      </w:r>
    </w:p>
    <w:p>
      <w:pPr>
        <w:ind w:left="420"/>
      </w:pPr>
      <w:r>
        <w:t xml:space="preserve">2. diesen Dienst unentgeltlich leisten.</w:t>
      </w:r>
    </w:p>
    <w:p>
      <w:r>
        <w:t xml:space="preserve">Die Träger sind verpflichtet, dem Bundesamt das Vorliegen sowie den Wegfall der Voraussetzungen für die Nichtheranziehung von anerkannten Kriegsdienstverweigerern zum Zivildienst anzuzeigen.</w:t>
      </w:r>
    </w:p>
    <w:p>
      <w:r>
        <w:t xml:space="preserve">(2) Weisen anerkannte Kriegsdienstverweigerer bis zur Vollendung des 24. Lebensjahres nach, dass sie Dienst von der in Absatz 1 Nr. 1 genannten Mindestdauer geleistet haben, so erlischt ihre Pflicht, Zivildienst zu leisten; das gilt nicht für den Zivildienst im Verteidigungsfall. Wird der Dienst vorzeitig beendet, so ist die in dem Dienst zurückgelegte Zeit, soweit sie zwei Monate übersteigt, auf den Zivildienst anzurechnen.</w:t>
      </w:r>
    </w:p>
    <w:p>
      <w:r>
        <w:t xml:space="preserve">(3) Als Träger eines Dienstes nach Absatz 1 können juristische Personen anerkannt werden, die</w:t>
      </w:r>
    </w:p>
    <w:p>
      <w:pPr>
        <w:ind w:left="420"/>
      </w:pPr>
      <w:r>
        <w:t xml:space="preserve">1. ausschließlich, unmittelbar und selbstlos steuerbegünstigten Zwecken im Sinne der §§ 51 bis 68 der Abgabenordnung dienen,</w:t>
      </w:r>
    </w:p>
    <w:p>
      <w:pPr>
        <w:ind w:left="420"/>
      </w:pPr>
      <w:r>
        <w:t xml:space="preserve">2. Gewähr dafür bieten, dass ihre Vorhaben den Interessen der Bundesrepublik Deutschland dienen und</w:t>
      </w:r>
    </w:p>
    <w:p>
      <w:pPr>
        <w:ind w:left="420"/>
      </w:pPr>
      <w:r>
        <w:t xml:space="preserve">3. ihren Sitz in der Bundesrepublik Deutschland haben.</w:t>
      </w:r>
    </w:p>
    <w:p>
      <w:r>
        <w:t xml:space="preserve">Über die Anerkennung eines Trägers entscheidet auf dessen Antrag das Bundesministerium für Familie, Senioren, Frauen und Jugend im Einvernehmen mit dem Auswärtigen Amt. Es kann die Anerkennung auf bestimmte Vorhaben des Trägers beschränken. § 4 Abs. 1 Satz 3 und Abs. 2 gelten entsprechend.</w:t>
      </w:r>
    </w:p>
    <w:p>
      <w:r>
        <w:rPr>
          <w:color w:val="555555"/>
          <w:sz w:val="17"/>
        </w:rPr>
        <w:t xml:space="preserve">Zitiervorschlag: § 14b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https://recht.nulegal.eu/gesetze/ErsDiG/14b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