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ErsDiG — Verfahren bei der Zurückstellung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Zurückstellungen nach § 11 Abs. 1, 4 und 5 sind befristet auszusprechen. In den Fällen des § 11 Abs. 4, ausgenommen Satz 2 Nr. 1 Buchstabe b, Nr. 3, sowie des Absatzes 6, darf der anerkannte Kriegsdienstverweigerer vom Zivildienst so lange zurückgestellt werden, dass er noch vor der für ihn nach § 24 Abs. 1 Satz 1 bis 4 maßgebenden Altersgrenze einberufen werden kann. In Ausnahmefällen, in denen die Einberufung eine unzumutbare Härte bedeuten würde, kann er auch darüber hinaus zurückgestellt werden.</w:t>
      </w:r>
    </w:p>
    <w:p>
      <w:r>
        <w:t xml:space="preserve">(2) Wird ein Antrag nach § 11 Abs. 2 oder 4 nach der Musterung gestellt, so kann die Entscheidung darüber bis zur Einberufung ausgesetzt werden, es sei denn, dass der Antragsteller ein berechtigtes Interesse an alsbaldiger Entscheidung glaubhaft macht.</w:t>
      </w:r>
    </w:p>
    <w:p>
      <w:r>
        <w:t xml:space="preserve">(3) Zurückstellungen sind zu widerrufen, wenn der Zurückstellungsgrund weggefallen ist; der anerkannte Kriegsdienstverweigerer ist vorher zu hören.</w:t>
      </w:r>
    </w:p>
    <w:p>
      <w:r>
        <w:t xml:space="preserve">(4) Nach Ablauf der Zurückstellungsfrist steht der anerkannte Kriegsdienstverweigerer unbeschadet der Vorschrift des § 19 Abs. 4 für den Zivildienst zur Verfügung.</w:t>
      </w:r>
    </w:p>
    <w:p>
      <w:r>
        <w:rPr>
          <w:color w:val="555555"/>
          <w:sz w:val="17"/>
        </w:rPr>
        <w:t xml:space="preserve">Zitiervorschlag: § 13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