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ErsDiG — Befreiungs- und Zurückstellungsanträge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Anträge nach § 10 Absatz 2 und nach § 11 Absatz 2, 4 und 6, die nicht gemäß § 20 des Wehrpflichtgesetzes frühestens nach der Aufforderung nach § 15a Absatz 1 des Wehrpflichtgesetzes und spätestens bis zum Abschluss der Musterung beim Bundesamt für das Personalmanagement der Bundeswehr zu stellen waren, sind schriftlich oder zur Niederschrift beim Bundesamt zu stellen.</w:t>
      </w:r>
    </w:p>
    <w:p>
      <w:r>
        <w:t xml:space="preserve">(2) Anträgen nach § 10 Abs. 2 und nach § 11 Abs. 4 sind Beweisurkunden, die der Antragsteller besitzt oder ohne unverhältnismäßigen Aufwand beschaffen kann, beizufügen. Bei Anträgen nach § 11 Abs. 2 sind beizubringen</w:t>
      </w:r>
    </w:p>
    <w:p>
      <w:pPr>
        <w:ind w:left="420"/>
      </w:pPr>
      <w:r>
        <w:t xml:space="preserve">1. der Nachweis eines ordentlichen theologischen Studiums oder einer ordentlichen theologischen Ausbildung und</w:t>
      </w:r>
    </w:p>
    <w:p>
      <w:pPr>
        <w:ind w:left="420"/>
      </w:pPr>
      <w:r>
        <w:t xml:space="preserve">2. eine Erklärung des zuständigen Landeskirchenamtes, der bischöflichen Behörde, des Ordensoberen oder der entsprechenden Oberbehörde einer anderen Religionsgemeinschaft, dass sich der anerkannte Kriegsdienstverweigerer auf das geistliche Amt vorbereitet.</w:t>
      </w:r>
    </w:p>
    <w:p>
      <w:r>
        <w:rPr>
          <w:color w:val="555555"/>
          <w:sz w:val="17"/>
        </w:rPr>
        <w:t xml:space="preserve">Zitiervorschlag: § 12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