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ErreichbV</w:t>
      </w:r>
    </w:p>
    <w:p>
      <w:r>
        <w:rPr>
          <w:color w:val="555555"/>
          <w:sz w:val="18"/>
        </w:rPr>
        <w:t xml:space="preserve">Erreichbarkeits-Verordnung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Auf Grund des § 13 Absatz 3 des Zweiten Buches Sozialgesetzbuch, der durch Artikel 1 Nummer 14 des Gesetzes vom 16. Dezember 2022 (BGBl. I S. 2328)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ErreichbV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https://recht.nulegal.eu/gesetze/ErreichbV/eingangsformel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