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ErreichbV — Weitere wichtige Gründe</w:t>
      </w:r>
    </w:p>
    <w:p>
      <w:r>
        <w:rPr>
          <w:color w:val="555555"/>
          <w:sz w:val="18"/>
        </w:rPr>
        <w:t xml:space="preserve">Erreichbarkeits-Verordnung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Ein wichtiger Grund für einen Aufenthalt außerhalb des näheren Bereichs nach § 7b Absatz 2 Satz 1 des Zweiten Buches Sozialgesetzbuch liegt neben den in § 7b Absatz 2 Satz 2 des Zweiten Buches Sozialgesetzbuch genannten Fällen vor, wenn erwerbsfähige Leistungsberechtigte den näheren Bereich verlassen, um Angehörige nach § 16 Absatz 5 des Zehnten Buches Sozialgesetzbuch zu unterstützen</w:t>
      </w:r>
    </w:p>
    <w:p>
      <w:pPr>
        <w:ind w:left="420"/>
      </w:pPr>
      <w:r>
        <w:t xml:space="preserve">1. im Zusammenhang mit der Geburt eines Kindes,</w:t>
      </w:r>
    </w:p>
    <w:p>
      <w:pPr>
        <w:ind w:left="420"/>
      </w:pPr>
      <w:r>
        <w:t xml:space="preserve">2. wegen Pflegebedürftigkeit oder</w:t>
      </w:r>
    </w:p>
    <w:p>
      <w:pPr>
        <w:ind w:left="420"/>
      </w:pPr>
      <w:r>
        <w:t xml:space="preserve">3. im Todesfall eines oder einer Angehörigen nach § 16 Absatz 5 des Zehnten Buches Sozialgesetzbuch.</w:t>
      </w:r>
    </w:p>
    <w:p>
      <w:r>
        <w:t xml:space="preserve">Voraussetzung für die Anerkennung eines wichtigen Grundes nach Satz 1 ist, dass die Unterstützung erforderlich ist und die Eingliederung in Ausbildung oder Arbeit nicht wesentlich beeinträchtigt wird. Auf Aufforderung des Jobcenters haben die erwerbsfähigen Leistungsberechtigten die Erforderlichkeit der Unterstützungsleistung nachzuweisen.</w:t>
      </w:r>
    </w:p>
    <w:p>
      <w:r>
        <w:rPr>
          <w:color w:val="555555"/>
          <w:sz w:val="17"/>
        </w:rPr>
        <w:t xml:space="preserve">Zitiervorschlag: § 3 ErreichbV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https://recht.nulegal.eu/gesetze/ErreichbV/3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