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ErreichbV — Möglichkeit der werktäglichen Kenntnisnahme</w:t>
      </w:r>
    </w:p>
    <w:p>
      <w:r>
        <w:rPr>
          <w:color w:val="555555"/>
          <w:sz w:val="18"/>
        </w:rPr>
        <w:t xml:space="preserve">Erreichbarkeits-Verordnung</w:t>
      </w:r>
    </w:p>
    <w:p>
      <w:r>
        <w:rPr>
          <w:color w:val="555555"/>
          <w:sz w:val="18"/>
        </w:rPr>
        <w:t xml:space="preserve">Stand: 08.08.2023 (konsolidierte Textfassung, kein amtliches Inkrafttretensdatum)</w:t>
      </w:r>
    </w:p>
    <w:p>
      <w:r>
        <w:t xml:space="preserve">(1) Die erwerbsfähige leistungsberechtigte Person hat sicherzustellen, dass sie Mitteilungen und Aufforderungen des zuständigen Jobcenters werktäglich zur Kenntnis nehmen kann. Die Möglichkeit der Kenntnisnahme liegt auch vor, wenn die erwerbsfähige leistungsberechtigte Person sicherstellt, dass Mitteilungen und Aufforderungen durch Dritte zur Kenntnis genommen werden können und eine entsprechende Information durch diese an die erwerbsfähige leistungsberechtigte Person erfolgt.</w:t>
      </w:r>
    </w:p>
    <w:p>
      <w:r>
        <w:t xml:space="preserve">(2) Werktage im Sinne des § 7b Absatz 1 Satz 2 des Zweiten Buches Sozialgesetzbuch und dieser Verordnung sind die Wochentage Montag bis Samstag. Ausgenommen sind die gesetzlichen Feiertage.</w:t>
      </w:r>
    </w:p>
    <w:p>
      <w:r>
        <w:t xml:space="preserve">(3) Bei Mitteilungen und Aufforderungen, die samstags oder einen Tag vor gesetzlichen Feiertagen zugehen, ist es für die Annahme der Erreichbarkeit ausreichend, wenn sie vor Beginn des nächsten Werktags zur Kenntnis genommen werden können.</w:t>
      </w:r>
    </w:p>
    <w:p>
      <w:r>
        <w:t xml:space="preserve">(4) Bei einer erwerbsfähigen leistungsberechtigten Person ohne festen Wohnsitz wird das Vorliegen der Voraussetzungen des Absatzes 1 angenommen, wenn sie die Dienststelle im Sinne des § 1 Absatz 1 einmal pro Leistungsmonat persönlich aufsucht. Sie muss der Dienststelle anlässlich der Vorsprache nach Satz 1 mitteilen, auf welchem Weg eine Kontaktaufnahme möglich ist.</w:t>
      </w:r>
    </w:p>
    <w:p>
      <w:r>
        <w:rPr>
          <w:color w:val="555555"/>
          <w:sz w:val="17"/>
        </w:rPr>
        <w:t xml:space="preserve">Zitiervorschlag: § 2 ErreichbV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https://recht.nulegal.eu/gesetze/ErreichbV/2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