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ErnennV (Brandenburg) — Schlussbestimmungen</w:t>
      </w:r>
    </w:p>
    <w:p>
      <w:r>
        <w:rPr>
          <w:color w:val="555555"/>
          <w:sz w:val="18"/>
        </w:rPr>
        <w:t xml:space="preserve">Ernennungsverordnung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 dieser Verordnung verwendeten Funktions-, Status- und anderen Bezeichnungen gelten für Frauen und Männer.</w:t>
      </w:r>
    </w:p>
    <w:p>
      <w:r>
        <w:t xml:space="preserve">(2) Die zur Durchführung dieser Verordnung erforderlichen Verwaltungsvorschriften erlässt das Ministerium des Innern.</w:t>
      </w:r>
    </w:p>
    <w:p>
      <w:r>
        <w:rPr>
          <w:color w:val="555555"/>
          <w:sz w:val="17"/>
        </w:rPr>
        <w:t xml:space="preserve">Zitiervorschlag: § 5 ErnennV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https://recht.nulegal.eu/gesetze/ErnennV/5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