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ErnennV (Brandenburg) — Entlassung auf Antrag, Versetzung in den Ruhestand</w:t>
      </w:r>
    </w:p>
    <w:p>
      <w:r>
        <w:rPr>
          <w:color w:val="555555"/>
          <w:sz w:val="18"/>
        </w:rPr>
        <w:t xml:space="preserve">Ernennungsverordnung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Entlassungen auf eigenen Antrag nach</w:t>
      </w:r>
    </w:p>
    <w:p>
      <w:r>
        <w:t xml:space="preserve">§ 23 Abs. 1 Satz 1 Nr. 4</w:t>
      </w:r>
    </w:p>
    <w:p>
      <w:r>
        <w:t xml:space="preserve">des Beamtenstatusgesetzes und für Versetzungen in den Ruhestand nach</w:t>
      </w:r>
    </w:p>
    <w:p>
      <w:r>
        <w:t xml:space="preserve">§ 26 des Beamtenstatusgesetzes und den §§ 39 und 41 des Landesbeamtengesetzes der Beamten, die durch die Landesregierung ernannt worden sind, ist die oberste Dienstbehörde zuständig.</w:t>
      </w:r>
    </w:p>
    <w:p>
      <w:r>
        <w:rPr>
          <w:color w:val="555555"/>
          <w:sz w:val="17"/>
        </w:rPr>
        <w:t xml:space="preserve">Zitiervorschlag: § 4 ErnennV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https://recht.nulegal.eu/gesetze/ErnennV/4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