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ErnennV (Brandenburg) — Ernennung der Beamten des Landesrechnungshofes</w:t>
      </w:r>
    </w:p>
    <w:p>
      <w:r>
        <w:rPr>
          <w:color w:val="555555"/>
          <w:sz w:val="18"/>
        </w:rPr>
        <w:t xml:space="preserve">Ernennungsverordnung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Präsident des Landesrechnungshofes ernennt die Beamten im Geschäftsbereich des Landesrechnungshofes, die nicht vom Landtag gewählt werden. Die Befugnis wird im</w:t>
      </w:r>
    </w:p>
    <w:p>
      <w:r>
        <w:t xml:space="preserve">Namen des Landes Brandenburg ausgeübt. Es unterzeichnet der Präsident des Landesrechnungshofes; § 1 Abs. 4 Satz 3 bis 5 findet keine Anwendung.</w:t>
      </w:r>
    </w:p>
    <w:p>
      <w:r>
        <w:rPr>
          <w:color w:val="555555"/>
          <w:sz w:val="17"/>
        </w:rPr>
        <w:t xml:space="preserve">Zitiervorschlag: § 2 ErnennV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https://recht.nulegal.eu/gesetze/ErnennV/2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