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ErnVO (Sachsen) — Inkrafttreten</w:t>
      </w:r>
    </w:p>
    <w:p>
      <w:r>
        <w:rPr>
          <w:color w:val="555555"/>
          <w:sz w:val="18"/>
        </w:rPr>
        <w:t xml:space="preserve">Ernennungsverordnung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Verordnung tritt am Tage nach ihrer Verkündung in Kraft.</w:t>
      </w:r>
    </w:p>
    <w:p>
      <w:r>
        <w:t xml:space="preserve">Gleichzeitig tritt die Anordnung des Ministerpräsidenten über die Ernennung der Beamten des Freistaates Sachsen (SächsErnAO) vom 24. Oktober 1991 (SächsGVBl. S. 381) außer Kraft.</w:t>
      </w:r>
    </w:p>
    <w:p>
      <w:r>
        <w:t xml:space="preserve">Dresden, den 2. Dezember 1994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rPr>
          <w:color w:val="555555"/>
          <w:sz w:val="17"/>
        </w:rPr>
        <w:t xml:space="preserve">Zitiervorschlag: § 4 ErnVO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https://recht.nulegal.eu/gesetze/ErnVO/4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