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ErlFreihVO (Sachsen)</w:t>
      </w:r>
    </w:p>
    <w:p>
      <w:r>
        <w:rPr>
          <w:color w:val="555555"/>
          <w:sz w:val="18"/>
        </w:rPr>
        <w:t xml:space="preserve">Erlaubnisfreiheits-Verordnung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44 Abs. 2 des Sächsischen Wassergesetzes ( SächsWG ) in der Fassung der Bekanntmachung vom 21. Juli 1998 (SächsGVBl. S. 393), das zuletzt durch § 9 des Gesetzes vom 18. Juli 2001 (SächsGVBl. S. 453, 454) geändert worden ist, wird verordnet:</w:t>
      </w:r>
    </w:p>
    <w:p>
      <w:r>
        <w:rPr>
          <w:color w:val="555555"/>
          <w:sz w:val="17"/>
        </w:rPr>
        <w:t xml:space="preserve">Zitiervorschlag: Eingangsformel ErlFreihVO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https://recht.nulegal.eu/gesetze/ErlFreihVO/eingangsformel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