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ErlFreihVO (Sachsen) — In-Kraft-Treten</w:t>
      </w:r>
    </w:p>
    <w:p>
      <w:r>
        <w:rPr>
          <w:color w:val="555555"/>
          <w:sz w:val="18"/>
        </w:rPr>
        <w:t xml:space="preserve">Erlaubnisfreiheits-Verordnung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12. September 2001</w:t>
      </w:r>
    </w:p>
    <w:p>
      <w:r>
        <w:t xml:space="preserve">Der Staatsminister</w:t>
      </w:r>
    </w:p>
    <w:p>
      <w:r>
        <w:t xml:space="preserve">für Umwelt und Landwirtschaft</w:t>
      </w:r>
    </w:p>
    <w:p>
      <w:r>
        <w:t xml:space="preserve">Steffen Flath</w:t>
      </w:r>
    </w:p>
    <w:p>
      <w:r>
        <w:rPr>
          <w:color w:val="555555"/>
          <w:sz w:val="17"/>
        </w:rPr>
        <w:t xml:space="preserve">Zitiervorschlag: § 8 ErlFreihVO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https://recht.nulegal.eu/gesetze/ErlFreihVO/8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