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ErlFreihVO (Sachsen) — Anforderungen an das schadlose Versickern</w:t>
      </w:r>
    </w:p>
    <w:p>
      <w:r>
        <w:rPr>
          <w:color w:val="555555"/>
          <w:sz w:val="18"/>
        </w:rPr>
        <w:t xml:space="preserve">Erlaubnisfreiheits-Verordnung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der Bemessung, der Ausgestaltung und dem Betrieb von Versickerungsanlagen sind die allgemein anerkannten Regeln der Technik zu beachten.</w:t>
      </w:r>
    </w:p>
    <w:p>
      <w:r>
        <w:t xml:space="preserve">(2) Sofern im Einzelfall mehrere Möglichkeiten zur Versickerung gegeben sind, ist die Lösung zu wählen, die im höheren Maße das Schutzpotenzial des Bodens einbezieht.</w:t>
      </w:r>
    </w:p>
    <w:p>
      <w:r>
        <w:t xml:space="preserve">(3) Ein ausreichender Abstand zwischen der Sohle der Versickerungsanlagen und dem höchsten zu erwartenden Grundwasserstand ist einzuhalten.</w:t>
      </w:r>
    </w:p>
    <w:p>
      <w:r>
        <w:t xml:space="preserve">(4) Die Versickerungsfähigkeit des Untergrundes muss gewährleistet sein.</w:t>
      </w:r>
    </w:p>
    <w:p>
      <w:r>
        <w:rPr>
          <w:color w:val="555555"/>
          <w:sz w:val="17"/>
        </w:rPr>
        <w:t xml:space="preserve">Zitiervorschlag: § 6 ErlFreihVO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https://recht.nulegal.eu/gesetze/ErlFreihVO/6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