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ErlFreihVO (Sachsen) — Anforderungen an die zu entwässernden Flächen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Niederschlagswasser darf erlaubnisfrei versickert werden, wenn es von den folgenden zu entwässernden Flächen stammt:</w:t>
      </w:r>
    </w:p>
    <w:p>
      <w:r>
        <w:t xml:space="preserve">1. außerhalb von Gewerbe- und Industriegebieten sowie Sondergebieten mit vergleichbaren Nutzungen gelegene</w:t>
      </w:r>
    </w:p>
    <w:p>
      <w:r>
        <w:t xml:space="preserve">a)</w:t>
      </w:r>
    </w:p>
    <w:p>
      <w:r>
        <w:t xml:space="preserve">Dächer und Terrassen,</w:t>
      </w:r>
    </w:p>
    <w:p>
      <w:r>
        <w:t xml:space="preserve">b)</w:t>
      </w:r>
    </w:p>
    <w:p>
      <w:r>
        <w:t xml:space="preserve">befestigte oder unbefestigte, nicht gewerblich, handwerklich oder industriell genutzte Grundstücksflächen oder</w:t>
      </w:r>
    </w:p>
    <w:p>
      <w:r>
        <w:t xml:space="preserve">2. Wohnstraßen, Rad- und Gehwege.</w:t>
      </w:r>
    </w:p>
    <w:p>
      <w:r>
        <w:t xml:space="preserve">(2) Das Niederschlagswasser von kupfer-, zink- und bleigedeckten Dächern ist von der erlaubnisfreien Versickerung ausgenommen.</w:t>
      </w:r>
    </w:p>
    <w:p>
      <w:r>
        <w:rPr>
          <w:color w:val="555555"/>
          <w:sz w:val="17"/>
        </w:rPr>
        <w:t xml:space="preserve">Zitiervorschlag: § 4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