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ErholNutzG — Anwendbarkeit des Sachenrechtsbereinigungsgesetzes</w:t>
      </w:r>
    </w:p>
    <w:p>
      <w:r>
        <w:rPr>
          <w:color w:val="555555"/>
          <w:sz w:val="18"/>
        </w:rPr>
        <w:t xml:space="preserve">Erholungsnutzungsrechtsgesetz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nach diesem Gesetz zu bestellenden Erbbaurechte finden im übrigen die für den Eigenheimbau geltenden Bestimmungen des Sachenrechtsbereinigungsgesetzes entsprechende Anwendung; § 57 des Sachenrechtsbereinigungsgesetzes ist nicht anzuwenden.</w:t>
      </w:r>
    </w:p>
    <w:p>
      <w:r>
        <w:rPr>
          <w:color w:val="555555"/>
          <w:sz w:val="17"/>
        </w:rPr>
        <w:t xml:space="preserve">Zitiervorschlag: § 8 ErholNutzG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https://recht.nulegal.eu/gesetze/ErholNutzG/8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