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ErholNutzG — Zulässige Nutzung, Heimfallanspruch</w:t>
      </w:r>
    </w:p>
    <w:p>
      <w:r>
        <w:rPr>
          <w:color w:val="555555"/>
          <w:sz w:val="18"/>
        </w:rPr>
        <w:t xml:space="preserve">Erholungsnutzungsrechtsgesetz</w:t>
      </w:r>
    </w:p>
    <w:p>
      <w:r>
        <w:rPr>
          <w:color w:val="555555"/>
          <w:sz w:val="18"/>
        </w:rPr>
        <w:t xml:space="preserve">Stand: 10.06.2019 (konsolidierte Textfassung, kein amtliches Inkrafttretensdatum)</w:t>
      </w:r>
    </w:p>
    <w:p>
      <w:r>
        <w:t xml:space="preserve">(1) Der Grundstückseigentümer kann eine Vereinbarung im Erbbaurechtsvertrag verlangen, nach der der Nutzer das Gebäude nur zu persönlichen Zwecken im Sinne des § 1 Abs. 1 Nr. 1 des Schuldrechtsanpassungsgesetzes nutzen darf. Dies gilt nicht, wenn das aufstehende Gebäude bereits am 20. Juli 1993 dauernd zu Wohnzwecken genutzt worden ist.</w:t>
      </w:r>
    </w:p>
    <w:p>
      <w:r>
        <w:t xml:space="preserve">(2) Der Grundstückseigentümer ist berechtigt, vom Nutzer zu verlangen, daß sich dieser ihm gegenüber verpflichtet, das Erbbaurecht auf ihn zu übertragen, wenn der Erbbauberechtigte die vertraglich zulässige Nutzung ändert und sie trotz einer mit Fristsetzung verbundenen Abmahnung fortsetzt.</w:t>
      </w:r>
    </w:p>
    <w:p>
      <w:r>
        <w:rPr>
          <w:color w:val="555555"/>
          <w:sz w:val="17"/>
        </w:rPr>
        <w:t xml:space="preserve">Zitiervorschlag: § 7 ErholNutzG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https://recht.nulegal.eu/gesetze/ErholNutzG/7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