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ErholNutzG — Dauer des Erbbaurechts</w:t>
      </w:r>
    </w:p>
    <w:p>
      <w:r>
        <w:rPr>
          <w:color w:val="555555"/>
          <w:sz w:val="18"/>
        </w:rPr>
        <w:t xml:space="preserve">Erholungsnutzungsrechtsgesetz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Dauer des Erbbaurechts beträgt vom Vertragsabschluß an 30 Jahre.</w:t>
      </w:r>
    </w:p>
    <w:p>
      <w:r>
        <w:rPr>
          <w:color w:val="555555"/>
          <w:sz w:val="17"/>
        </w:rPr>
        <w:t xml:space="preserve">Zitiervorschlag: § 6 ErholNutzG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https://recht.nulegal.eu/gesetze/ErholNutzG/6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