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ErholNutzG — Ermäßigung des Erbbauzinses</w:t>
      </w:r>
    </w:p>
    <w:p>
      <w:r>
        <w:rPr>
          <w:color w:val="555555"/>
          <w:sz w:val="18"/>
        </w:rPr>
        <w:t xml:space="preserve">Erholungsnutzungsrechtsgesetz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vom Nutzer zu entrichtende Erbbauzins ermäßigt sich</w:t>
      </w:r>
    </w:p>
    <w:p>
      <w:pPr>
        <w:ind w:left="420"/>
      </w:pPr>
      <w:r>
        <w:t xml:space="preserve">1. in den ersten zwei Jahren auf ein Viertel,</w:t>
      </w:r>
    </w:p>
    <w:p>
      <w:pPr>
        <w:ind w:left="420"/>
      </w:pPr>
      <w:r>
        <w:t xml:space="preserve">2. in den folgenden zwei Jahren auf die Hälfte und</w:t>
      </w:r>
    </w:p>
    <w:p>
      <w:pPr>
        <w:ind w:left="420"/>
      </w:pPr>
      <w:r>
        <w:t xml:space="preserve">3. in den darauf folgenden zwei Jahren auf drei Viertel</w:t>
      </w:r>
    </w:p>
    <w:p>
      <w:r>
        <w:t xml:space="preserve">des sich aus § 3 Abs. 1 ergebenden Erbbauzinses (Eingangsphase). Die Eingangsphase beginnt mit dem Eintritt der Zahlungspflicht nach diesem Gesetz, spätestens am 1. Juli 1995.</w:t>
      </w:r>
    </w:p>
    <w:p>
      <w:r>
        <w:rPr>
          <w:color w:val="555555"/>
          <w:sz w:val="17"/>
        </w:rPr>
        <w:t xml:space="preserve">Zitiervorschlag: § 5 ErholNutzG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https://recht.nulegal.eu/gesetze/ErholNutzG/5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