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 ErholNutzG — Anwendungsbereich</w:t>
      </w:r>
    </w:p>
    <w:p>
      <w:r>
        <w:rPr>
          <w:color w:val="555555"/>
          <w:sz w:val="18"/>
        </w:rPr>
        <w:t xml:space="preserve">Erholungsnutzungsrechtsgesetz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Ist für die Errichtung eines Wochenendhauses oder eines anderen persönlichen Zwecken, jedoch nicht Wohn- oder betrieblichen Zwecken dienenden Gebäudes ein Nutzungsrecht an einem Grundstück verliehen worden (§ 287 des Zivilgesetzbuchs der Deutschen Demokratischen Republik) und kommt ein Anspruch nach dem Sachenrechtsbereinigungsgesetz wegen § 2 Abs. 1 Satz 1 Nr. 1 des Sachenrechtsbereinigungsgesetzes nicht in Betracht, können Grundstückseigentümer und Nutzer Ansprüche auf Bestellung eines Erbbaurechts nach Maßgabe dieses Gesetzes geltend machen.</w:t>
      </w:r>
    </w:p>
    <w:p>
      <w:r>
        <w:rPr>
          <w:color w:val="555555"/>
          <w:sz w:val="17"/>
        </w:rPr>
        <w:t xml:space="preserve">Zitiervorschlag: § 1 ErholNutzG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https://recht.nulegal.eu/gesetze/ErholNutzG/1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