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ErhaltungsV — Antrag auf Zulassung einer Erhaltungssorte</w:t>
      </w:r>
    </w:p>
    <w:p>
      <w:r>
        <w:rPr>
          <w:color w:val="555555"/>
          <w:sz w:val="18"/>
        </w:rPr>
        <w:t xml:space="preserve">Erhaltungssortenverordnung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hat mit dem Antrag auf Zulassung einer Erhaltungssorte beim Bundessortenamt folgende Angaben zu machen und Unterlagen vorzulegen:</w:t>
      </w:r>
    </w:p>
    <w:p>
      <w:pPr>
        <w:ind w:left="420"/>
      </w:pPr>
      <w:r>
        <w:t xml:space="preserve">1. eine Sortenbezeichnung,</w:t>
      </w:r>
    </w:p>
    <w:p>
      <w:pPr>
        <w:ind w:left="420"/>
      </w:pPr>
      <w:r>
        <w:t xml:space="preserve">2. eine Sortenbeschreibung entsprechend den in § 2 Absatz 2 und 3 genannten Vorschriften,</w:t>
      </w:r>
    </w:p>
    <w:p>
      <w:pPr>
        <w:ind w:left="420"/>
      </w:pPr>
      <w:r>
        <w:t xml:space="preserve">3. die Bezeichnung mindestens einer Ursprungsregion,</w:t>
      </w:r>
    </w:p>
    <w:p>
      <w:pPr>
        <w:ind w:left="420"/>
      </w:pPr>
      <w:r>
        <w:t xml:space="preserve">4. eine Angabe des Datums</w:t>
      </w:r>
    </w:p>
    <w:p>
      <w:pPr>
        <w:ind w:left="780"/>
      </w:pPr>
      <w:r>
        <w:t xml:space="preserve">a) der letzten Löschung der Sorte aus der Sortenliste oder dem Gemeinsamen Sortenkatalog für landwirtschaftliche Pflanzenarten,</w:t>
      </w:r>
    </w:p>
    <w:p>
      <w:pPr>
        <w:ind w:left="780"/>
      </w:pPr>
      <w:r>
        <w:t xml:space="preserve">b) des Ablaufs einer Frist nach § 2 Absatz 1 Nummer 3 Buchstabe b,</w:t>
      </w:r>
    </w:p>
    <w:p>
      <w:pPr>
        <w:ind w:left="780"/>
      </w:pPr>
      <w:r>
        <w:t xml:space="preserve">c) der Beendigung des Sortenschutzes,</w:t>
      </w:r>
    </w:p>
    <w:p>
      <w:pPr>
        <w:ind w:left="420"/>
      </w:pPr>
      <w:r>
        <w:t xml:space="preserve">5. eine Bescheinigung der zuständigen Behörde, aus der hervorgeht, dass es sich um eine Sorte handelt, deren Erhaltung als pflanzengenetische Ressource in der Ursprungsregion bedeutsam ist.</w:t>
      </w:r>
    </w:p>
    <w:p>
      <w:r>
        <w:t xml:space="preserve">Abweichend von Satz 1 Nummer 1 sind mehrere Bezeichnungen für eine Sorte zulässig, sofern es sich um historisch bekannte Namen dieser Sorte handelt.Einer Bescheinigung nach Satz 1 Nummer 5 bedarf es nicht, wenn die Sorte als in ihrem Bestand bedroht gilt. Satz 1 Nummer 3 und 5 gilt nicht für den Antrag auf Zulassung einer Amateursorte.</w:t>
      </w:r>
    </w:p>
    <w:p>
      <w:r>
        <w:t xml:space="preserve">(2) Für den Antrag und die Angabe der Sortenbezeichnung sind die Vordrucke des Bundessortenamtes zu verwenden.</w:t>
      </w:r>
    </w:p>
    <w:p>
      <w:r>
        <w:rPr>
          <w:color w:val="555555"/>
          <w:sz w:val="17"/>
        </w:rPr>
        <w:t xml:space="preserve">Zitiervorschlag: § 4 ErhaltungsV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https://recht.nulegal.eu/gesetze/ErhaltungsV/4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ErhaltungsV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