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ErhZV (Brandenburg) — Erhaltungsziele</w:t>
      </w:r>
    </w:p>
    <w:p>
      <w:r>
        <w:rPr>
          <w:color w:val="555555"/>
          <w:sz w:val="18"/>
        </w:rPr>
        <w:t xml:space="preserve">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Die dafür allgemein erforderlichen ökologischen Erfordernisse werden in den Anlagen 3 und 4 dargestellt.</w:t>
      </w:r>
    </w:p>
    <w:p>
      <w:r>
        <w:t xml:space="preserve">(2) Soweit Gebiete von gemeinschaftlicher Bedeutung flächengleich mit Naturschutzgebieten sind, ergeben sich ihre Erhaltungsziele gemäß § 23 des Bundesnaturschutzgesetzes aus der jeweiligen Verordnung über das Naturschutzgebiet. Die in einem Gebiet jeweils anwendbaren Schutzgebietsverordnungen sind in Anlage 2 aufgeführt.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