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ErhZV (Brandenburg) — Festsetzung</w:t>
      </w:r>
    </w:p>
    <w:p>
      <w:r>
        <w:rPr>
          <w:color w:val="555555"/>
          <w:sz w:val="18"/>
        </w:rPr>
        <w:t xml:space="preserve">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 EWG als Gebiete von gemeinschaftlicher Bedeutung (§ 7 Absatz 1 Nummer 6 des Bundesnaturschutzgesetzes) in den in § 3 bestimmten Grenzen festgesetzt. Sie sind Teil des kohärenten europäischen ökologischen Netzes „Natura 2000“.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