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ErgThAPrV — Sonderregelungen für Inhaber von Ausbildungsnachweisen aus einem anderen Vertragsstaat des Europäischen Wirtschaftsraumes</w:t>
      </w:r>
    </w:p>
    <w:p>
      <w:r>
        <w:rPr>
          <w:color w:val="555555"/>
          <w:sz w:val="18"/>
        </w:rPr>
        <w:t xml:space="preserve">Ergotherapeuten-Ausbildungs- und Prüfungsverordnung</w:t>
      </w:r>
    </w:p>
    <w:p>
      <w:r>
        <w:rPr>
          <w:color w:val="555555"/>
          <w:sz w:val="18"/>
        </w:rPr>
        <w:t xml:space="preserve">Stand: 10.06.2019 (konsolidierte Textfassung, kein amtliches Inkrafttretensdatum)</w:t>
      </w:r>
    </w:p>
    <w:p>
      <w:r>
        <w:t xml:space="preserve">(1) Antragsteller, die eine Erlaubnis nach § 1 Abs. 1 des Ergotherapeutengesetzes beantragen, können zum Nachweis, dass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Mitgliedstaats eine Bestätigung verlangen, aus der sich ergibt, dass dem Antragsteller die Ausübung des Berufs, der dem des Ergotherapeuten entspricht, nicht auf Grund eines schwerwiegenden standeswidrigen Verhaltens oder einer Verurteilung wegen strafbarer Handlungen dauerhaft oder vorübergehend untersagt worden ist. Hat die für die Erteilung der Erlaubnis zuständige Behörde in den Fällen des Satzes 1 oder des Satzes 2 von Tatbeständen Kenntnis, die außerhalb des Geltungsbereichs des Gesetzes eingetreten sind und im Hinblick auf die Voraussetzungen des § 2 Abs. 1 Nr. 2 des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des Ergotherapeutengesetzes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Ergotherapeutengesetzes erfüllt sind. Absatz 1 Satz 4 und 5 gilt entsprechend.</w:t>
      </w:r>
    </w:p>
    <w:p>
      <w:r>
        <w:t xml:space="preserve">(3) Antragsteller, die über einen Ausbildungsnachweis im Beruf des Ergotherapeuten verfügen, der in einem anderen Vertragsstaat des Europäischen Wirtschaftsraumes erworben worden ist, führen nach der Anerkennung ihrer Berufsqualifikation die Berufsbezeichnung „Ergotherapeutin“ oder „Ergotherapeut“.</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5a des Ergotherapeutengesetzes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16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