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ErgThAPrV — Ausbildung</w:t>
      </w:r>
    </w:p>
    <w:p>
      <w:r>
        <w:rPr>
          <w:color w:val="555555"/>
          <w:sz w:val="18"/>
        </w:rPr>
        <w:t xml:space="preserve">Ergotherapeuten-Ausbildungs- und Prüfungsverordnung</w:t>
      </w:r>
    </w:p>
    <w:p>
      <w:r>
        <w:rPr>
          <w:color w:val="555555"/>
          <w:sz w:val="18"/>
        </w:rPr>
        <w:t xml:space="preserve">Stand: 01.10.2023 (konsolidierte Textfassung, kein amtliches Inkrafttretensdatum)</w:t>
      </w:r>
    </w:p>
    <w:p>
      <w:r>
        <w:t xml:space="preserve">(1) Die dreijährige Ausbildung für Ergotherapeutinnen und Ergotherapeuten umfaßt mindestens den in der Anlage 1 aufgeführten theoretischen und praktischen Unterricht von 2 700 Stunden und die aufgeführte praktische Ausbildung von 1 700 Stunden. Sie steht unter der Gesamtverantwortung einer Schule für Ergotherapeuten (Schule). Im Unterricht muß den Schülern ausreichende Möglichkeit gegeben werden, die erforderlichen praktischen Fähigkeiten und Fertigkeiten zu entwickeln und einzuüben.</w:t>
      </w:r>
    </w:p>
    <w:p>
      <w:r>
        <w:t xml:space="preserve">(1a) Lehrformate, die selbstgesteuertes Lernen oder E-Learning beinhalten, können zielgerichtet bei der Konzeption des theoretischen und praktischen Unterrichts in einem angemessenen Umfang berücksichtigt werden. Die Teilnahme an Lehrformaten nach Satz 1 ist von den Auszubildenden gegenüber der Schule nachzuweisen. Das Nähere regeln die Länder.</w:t>
      </w:r>
    </w:p>
    <w:p>
      <w:r>
        <w:t xml:space="preserve">(2) Die Schulen haben die praktische Ausbildung im Rahmen einer Vereinbarung mit Krankenhäusern oder anderen geeigneten Einrichtungen sicherzustellen. Der in Anlage 1 B Nr. 3 genannte Bereich der praktischen Ausbildung soll unter der Anleitung von Ergotherapeutinnen oder Ergotherapeuten durchgeführt werden; in den übrigen in Anlage 1 B genannten Bereichen hat sie unter der Anleitung von Ergotherapeutinnen oder Ergotherapeuten stattzufinden.</w:t>
      </w:r>
    </w:p>
    <w:p>
      <w:r>
        <w:t xml:space="preserve">(3) Die regelmäßige und erfolgreiche Teilnahme an den Ausbildungsveranstaltungen nach Absatz 1 ist durch eine Bescheinigung nach dem Muster der Anlage 2 nachzuweisen.</w:t>
      </w:r>
    </w:p>
    <w:p>
      <w:r>
        <w:rPr>
          <w:color w:val="555555"/>
          <w:sz w:val="17"/>
        </w:rPr>
        <w:t xml:space="preserve">Zitiervorschlag: § 1 ErgThAPrV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https://recht.nulegal.eu/gesetze/ErgThAPrV/1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