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ErgAnzV</w:t>
      </w:r>
    </w:p>
    <w:p>
      <w:r>
        <w:rPr>
          <w:color w:val="555555"/>
          <w:sz w:val="18"/>
        </w:rPr>
        <w:t xml:space="preserve">Ergänzungsanzeigenverordnung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24 Abs. 4 des Gesetzes über das Kreditwesen, der durch Artikel 1 Nr. 36 des Gesetzes vom 22. Oktober 1997 (BGBl. I S. 2518) neu gefaßt worden ist, in Verbindung mit § 1 der Verordnung zur Übertragung der Befugnis zum Erlaß von Rechtsverordnungen auf das Bundesaufsichtsamt für das Kreditwesen vom 19. Dezember 1997 (BGBl. I S. 3156) verordnet das Bundesaufsichtsamt für das Kreditwesen im Einvernehmen mit der Deutschen Bundesbank nach Anhörung der Spitzenverbände der Institute:</w:t>
      </w:r>
    </w:p>
    <w:p>
      <w:r>
        <w:rPr>
          <w:color w:val="555555"/>
          <w:sz w:val="17"/>
        </w:rPr>
        <w:t xml:space="preserve">Zitiervorschlag: Eingangsformel ErgAnzV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https://recht.nulegal.eu/gesetze/ErgAnzV/eingangsformel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