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ErgAnzV — Finanzportfolioverwaltung</w:t>
      </w:r>
    </w:p>
    <w:p>
      <w:r>
        <w:rPr>
          <w:color w:val="555555"/>
          <w:sz w:val="18"/>
        </w:rPr>
        <w:t xml:space="preserve">Ergänzungsanzeigenverordnung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Anzeigepflichtige, welche die Finanzportfolioverwaltung (§ 1 Abs. 1a Satz 2 Nr. 3 KWG) anbieten, haben zusätzlich zu den Angaben und Unterlagen nach den §§ 1 und 2 einzureichen:</w:t>
      </w:r>
    </w:p>
    <w:p>
      <w:pPr>
        <w:ind w:left="420"/>
      </w:pPr>
      <w:r>
        <w:t xml:space="preserve">1. eine Aufzählung der Finanzinstrumente im Sinne des § 1 Abs. 11 KWG nach Art und Gattung, die im Rahmen der Verwaltung angeschafft oder veräußert werden; Angaben darüber, ob Kundengelder bar oder unbar entgegengenommen werden;</w:t>
      </w:r>
    </w:p>
    <w:p>
      <w:pPr>
        <w:ind w:left="420"/>
      </w:pPr>
      <w:r>
        <w:t xml:space="preserve">2. eine Beschreibung der angesprochenen Kundenkreise, insbesondere die Angabe eventueller Mindestdepotgrenzen;</w:t>
      </w:r>
    </w:p>
    <w:p>
      <w:pPr>
        <w:ind w:left="420"/>
      </w:pPr>
      <w:r>
        <w:t xml:space="preserve">3. eine Aufzählung der Verwahrer der verwalteten Finanzinstrumente;</w:t>
      </w:r>
    </w:p>
    <w:p>
      <w:pPr>
        <w:ind w:left="420"/>
      </w:pPr>
      <w:r>
        <w:t xml:space="preserve">4. eine Beschreibung der Form der Verwahrung.</w:t>
      </w:r>
    </w:p>
    <w:p>
      <w:r>
        <w:t xml:space="preserve">Finanzportfolioverwalter, die auf eigene Rechnung handeln, haben außerdem die in § 7 Nr. 1 geforderten Angaben zu machen.</w:t>
      </w:r>
    </w:p>
    <w:p>
      <w:r>
        <w:rPr>
          <w:color w:val="555555"/>
          <w:sz w:val="17"/>
        </w:rPr>
        <w:t xml:space="preserve">Zitiervorschlag: § 6 ErgAnzV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https://recht.nulegal.eu/gesetze/ErgAnzV/6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