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ErgAnzV — Finanzkommissionsgeschäft</w:t>
      </w:r>
    </w:p>
    <w:p>
      <w:r>
        <w:rPr>
          <w:color w:val="555555"/>
          <w:sz w:val="18"/>
        </w:rPr>
        <w:t xml:space="preserve">Ergänzungsanzeigenverordnung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Anzeigepflichtige, die das Finanzkommissionsgeschäft (§ 1 Abs. 1 Satz 2 Nr. 4 KWG) betreiben, haben zusätzlich zu den Angaben und Unterlagen nach den §§ 1 und 2 einzureichen:</w:t>
      </w:r>
    </w:p>
    <w:p>
      <w:pPr>
        <w:ind w:left="420"/>
      </w:pPr>
      <w:r>
        <w:t xml:space="preserve">1. eine Aufzählung der im eigenen Namen und für fremde Rechnung gehandelten Finanzinstrumente im Sinne des § 1 Abs. 11 KWG nach Art und Gattung; verbriefte Finanzinstrumente sind gesondert zu kennzeichnen;</w:t>
      </w:r>
    </w:p>
    <w:p>
      <w:pPr>
        <w:ind w:left="420"/>
      </w:pPr>
      <w:r>
        <w:t xml:space="preserve">2. eine Beschreibung der angesprochenen Kundenkreise;</w:t>
      </w:r>
    </w:p>
    <w:p>
      <w:pPr>
        <w:ind w:left="420"/>
      </w:pPr>
      <w:r>
        <w:t xml:space="preserve">3. eine Beschreibung, auf welche Weise das Eigentum an den Finanzinstrumenten auf den Geschäftspartner/Kunden übergeht und ob Gelder (bar oder unbar) oder Wertpapiere des Kunden entgegengenommen werden.</w:t>
      </w:r>
    </w:p>
    <w:p>
      <w:r>
        <w:rPr>
          <w:color w:val="555555"/>
          <w:sz w:val="17"/>
        </w:rPr>
        <w:t xml:space="preserve">Zitiervorschlag: § 3 ErgAnzV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https://recht.nulegal.eu/gesetze/ErgAnzV/3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