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ErgAnzV — Sortenhandel</w:t>
      </w:r>
    </w:p>
    <w:p>
      <w:r>
        <w:rPr>
          <w:color w:val="555555"/>
          <w:sz w:val="18"/>
        </w:rPr>
        <w:t xml:space="preserve">Ergänzungsanzeigenverordnung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Anzeigepflichtige, die den Sortenhandel (§ 1 Abs. 1a Satz 2 Nr. 7 KWG) betreiben, haben zusätzlich zu den Angaben und Unterlagen nach den §§ 1 und 2 einzureichen:</w:t>
      </w:r>
    </w:p>
    <w:p>
      <w:pPr>
        <w:ind w:left="420"/>
      </w:pPr>
      <w:r>
        <w:t xml:space="preserve">1. eine Beschreibung des Kundenkreises mit Angabe des Anteils der Dauerkunden im Verhältnis zu Gelegenheitskunden;</w:t>
      </w:r>
    </w:p>
    <w:p>
      <w:pPr>
        <w:ind w:left="420"/>
      </w:pPr>
      <w:r>
        <w:t xml:space="preserve">2. eine Aufzählung der Unternehmen, die im Rahmen der Durchführung des Sortenhandels eingeschaltet werden;</w:t>
      </w:r>
    </w:p>
    <w:p>
      <w:pPr>
        <w:ind w:left="420"/>
      </w:pPr>
      <w:r>
        <w:t xml:space="preserve">3. eine Aufstellung sonstiger Geschäftstätigkeiten außerhalb des Sortenhandels mit Angabe ihres jeweiligen Umfangs.</w:t>
      </w:r>
    </w:p>
    <w:p>
      <w:r>
        <w:rPr>
          <w:color w:val="555555"/>
          <w:sz w:val="17"/>
        </w:rPr>
        <w:t xml:space="preserve">Zitiervorschlag: § 10 ErgAnzV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https://recht.nulegal.eu/gesetze/ErgAnzV/10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