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ErdölBevVbdStiRV</w:t>
      </w:r>
    </w:p>
    <w:p>
      <w:r>
        <w:rPr>
          <w:color w:val="555555"/>
          <w:sz w:val="18"/>
        </w:rPr>
        <w:t xml:space="preserve">Verordnung über das Stimmrecht der Mitglieder des Erdölbevorratungsverbandes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13 des Erdölbevorratungsgesetzes vom 25. Juli 1978 (BGBl. I S. 1073) wird mit Zustimmung des Bundesrates verordnet:</w:t>
      </w:r>
    </w:p>
    <w:p>
      <w:r>
        <w:rPr>
          <w:color w:val="555555"/>
          <w:sz w:val="17"/>
        </w:rPr>
        <w:t xml:space="preserve">Zitiervorschlag: Eingangsformel ErdölBevVbdStiRV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https://recht.nulegal.eu/gesetze/Erd%C3%B6lBevVbdStiRV/eingangsformel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