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ErdölBevG 2012 — Delegationen</w:t>
      </w:r>
    </w:p>
    <w:p>
      <w:r>
        <w:rPr>
          <w:color w:val="555555"/>
          <w:sz w:val="18"/>
        </w:rPr>
        <w:t xml:space="preserve">Erdölbevorratungsgesetz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Erdölbevorratungsverband kann zur Erfüllung seiner Bevorratungspflicht auch Verträge abschließen, mit denen Mitglieder oder Dritte sich verpflichten, Bestände vorrätig zu halten (Delegationen).</w:t>
      </w:r>
    </w:p>
    <w:p>
      <w:r>
        <w:t xml:space="preserve">(2) Der Abschluss von Verträgen über Delegationen ist nur zulässig, wenn dem Gebot nach § 6 Absatz 3, der Anpassung der Vorratshöhe nach § 11 Absatz 1 oder der verbrauchsgerechten Vorratshaltung nach § 6 Absatz 2 nicht auf andere Weise wirtschaftlich entsprochen werden kann und die so gehaltenen Vorräte jederzeit in vollem Umfang dem Erdölbevorratungsverband zur Verfügung stehen. § 4 Absatz 6 gilt entsprechend.</w:t>
      </w:r>
    </w:p>
    <w:p>
      <w:r>
        <w:t xml:space="preserve">(3) Die Gesamtmenge der Delegationen darf 10 Prozent der Bevorratungspflicht nach § 3 nicht übersteigen. Werden zeitlich begrenzte Vereinbarungen auf Grund einzelner Wiederbeschaffungs- einschließlich Austauschmaßnahmen zur Qualitätserhaltung oder zur Anpassung der Vorräte an geänderte Spezifikationen oder Verbrauchsstrukturen abgeschlossen, braucht insoweit die Höchstgrenze nach Satz 1 nicht eingehalten zu werden, sofern das Bundesministerium für Wirtschaft und Energie im Einzelfall zugestimmt hat.</w:t>
      </w:r>
    </w:p>
    <w:p>
      <w:r>
        <w:t xml:space="preserve">(4) Für Delegationen außerhalb des Geltungsbereichs dieses Gesetzes ist § 8 Absatz 2 entsprechend anzuwenden.</w:t>
      </w:r>
    </w:p>
    <w:p>
      <w:r>
        <w:t xml:space="preserve">(5) Für den Abschluss von Delegationen legt der Beirat auf Vorschlag des Vorstandes Richtlinien fest.</w:t>
      </w:r>
    </w:p>
    <w:p>
      <w:r>
        <w:rPr>
          <w:color w:val="555555"/>
          <w:sz w:val="17"/>
        </w:rPr>
        <w:t xml:space="preserve">Zitiervorschlag: § 7 ErdölBevG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https://recht.nulegal.eu/gesetze/Erd%C3%B6lBevG%202012/7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