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ErdölBevG 2012 — Auflösung</w:t>
      </w:r>
    </w:p>
    <w:p>
      <w:r>
        <w:rPr>
          <w:color w:val="555555"/>
          <w:sz w:val="18"/>
        </w:rPr>
        <w:t xml:space="preserve">Erdölbevorratungsgesetz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Auflösung des Erdölbevorratungsverbandes erfolgt durch Gesetz. Das Gesetz regelt auch die Verwendung des dann vorhandenen Vermögens. Die Bundesrepublik Deutschland übernimmt die bei Auflösung noch bestehenden Verbindlichkeiten des Erdölbevorratungsverbandes.</w:t>
      </w:r>
    </w:p>
    <w:p>
      <w:r>
        <w:t xml:space="preserve">(2) Über das Vermögen des Erdölbevorratungsverbandes findet kein Insolvenzverfahren statt.</w:t>
      </w:r>
    </w:p>
    <w:p>
      <w:r>
        <w:rPr>
          <w:color w:val="555555"/>
          <w:sz w:val="17"/>
        </w:rPr>
        <w:t xml:space="preserve">Zitiervorschlag: § 32 ErdölBevG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https://recht.nulegal.eu/gesetze/Erd%C3%B6lBevG%202012/32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