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ErdölBevG 2012 — Ausführung des Wirtschaftsplans</w:t>
      </w:r>
    </w:p>
    <w:p>
      <w:r>
        <w:rPr>
          <w:color w:val="555555"/>
          <w:sz w:val="18"/>
        </w:rPr>
        <w:t xml:space="preserve">Erdölbevorratungsgesetz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Wirtschaftsplan wird nach den Grundsätzen der Wirtschaftlichkeit und Sparsamkeit ausgeführt.</w:t>
      </w:r>
    </w:p>
    <w:p>
      <w:r>
        <w:t xml:space="preserve">(2) Der festgelegte Beitragssatz kann im Verlauf eines Geschäftsjahres angepasst werden. Die Anpassung muss erfolgen, soweit dies zur Deckung des Mittelbedarfs erforderlich ist. Die Regeln des § 27 Absatz 5 gelten entsprechend.</w:t>
      </w:r>
    </w:p>
    <w:p>
      <w:r>
        <w:t xml:space="preserve">(3) Aufwendungen, für die die Ansätze in der Plan-Gewinn-und-Verlust-Rechnung nicht ausreichen oder für die keine Ansätze vorhanden sind (über- und außerplanmäßige Aufwendungen), sind nur zulässig, wenn die Deckung im Wirtschaftsplan gewährleistet ist. Ausgaben, für die die Ansätze im Finanzplan nicht ausreichen oder für die keine Ansätze vorhanden sind (über- oder außerplanmäßige Ausgaben), sind nur zulässig, wenn die Deckung im Wirtschaftsplan gewährleistet ist.</w:t>
      </w:r>
    </w:p>
    <w:p>
      <w:r>
        <w:t xml:space="preserve">(4) Der Wirtschaftsplan ist zu ändern, wenn sich die Plan-Gewinn-und-Verlust-Rechnung oder der Finanzplan gegenüber dem Wirtschaftsplan erheblich verändert. Eine erhebliche Veränderung liegt dann vor, wenn die Gesamtaufwendungen der Plan-Gewinn-und-Verlust-Rechnung oder die Gesamtausgaben des Finanzplans den jeweiligen Gesamtansatz um mehr als 10 Prozent überschreiten. Für die Änderung des Wirtschaftsplans gilt § 27 Absatz 1 bis 5 entsprechend.</w:t>
      </w:r>
    </w:p>
    <w:p>
      <w:r>
        <w:t xml:space="preserve">(5) Das Nähere regelt das Finanzstatut des Erdölbevorratungsverbandes.</w:t>
      </w:r>
    </w:p>
    <w:p>
      <w:r>
        <w:rPr>
          <w:color w:val="555555"/>
          <w:sz w:val="17"/>
        </w:rPr>
        <w:t xml:space="preserve">Zitiervorschlag: § 28 ErdölBevG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https://recht.nulegal.eu/gesetze/Erd%C3%B6lBevG%202012/28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