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ErdölBevG 2012 — Grundsätze der Wirtschaftsführung</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Der Erdölbevorratungsverband ist in seiner Wirtschaftsführung selbstständig, soweit dieses Gesetz nichts anderes bestimmt. Die in § 105 Absatz 1 Nummer 1 und 2 der Bundeshaushaltsordnung genannten Vorschriften der Bundeshaushaltsordnung sind nicht anzuwenden.</w:t>
      </w:r>
    </w:p>
    <w:p>
      <w:r>
        <w:t xml:space="preserve">(2) Der Erdölbevorratungsverband hat ein kaufmännisches Rechnungswesen gemäß handelsrechtlichen Grundsätzen zu führen. Das Nähere regelt das Finanzstatut des Erdölbevorratungsverbandes. Das Finanzstatut wird von der Mitgliederversammlung im Einvernehmen mit dem Bundesministerium für Wirtschaft und Energie, dem Bundesministerium der Finanzen und im Benehmen mit dem Bundesrechnungshof beschlossen. Das Finanzstatut trifft nähere Regelungen zur Aufstellung und Ausführung des Wirtschaftsplans, zur Buchführung und zur Rechnungslegung des Erdölbevorratungsverbandes sowie zur Lage des Geschäftsjahres. Das Finanzstatut sowie dessen Änderungen sind im Bundesanzeiger zu veröffentlichen.</w:t>
      </w:r>
    </w:p>
    <w:p>
      <w:r>
        <w:t xml:space="preserve">(3) Der Erdölbevorratungsverband stellt für jedes Geschäftsjahr einen Wirtschaftsplan auf.</w:t>
      </w:r>
    </w:p>
    <w:p>
      <w:r>
        <w:t xml:space="preserve">(4) Zur Aufrechterhaltung der laufenden Geschäftstätigkeit kann der Erdölbevorratungsverband Kredite in Höhe der Hälfte des Beitragsaufkommens des vorangegangenen Geschäftsjahres aufnehmen. Zur Finanzierung der Anschaffung von Anlagevermögen kann der Erdölbevorratungsverband nach Maßgabe des Wirtschaftsplans Kredite in dem Umfang aufnehmen, in dem dies zur Erfüllung seiner nach diesem Gesetz übertragenen Aufgaben erforderlich ist.</w:t>
      </w:r>
    </w:p>
    <w:p>
      <w:r>
        <w:rPr>
          <w:color w:val="555555"/>
          <w:sz w:val="17"/>
        </w:rPr>
        <w:t xml:space="preserve">Zitiervorschlag: § 25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