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ErdölBevG 2012 — Organe</w:t>
      </w:r>
    </w:p>
    <w:p>
      <w:r>
        <w:rPr>
          <w:color w:val="555555"/>
          <w:sz w:val="18"/>
        </w:rPr>
        <w:t xml:space="preserve">Erdölbevorratungsgesetz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des Erdölbevorratungsverbandes sind</w:t>
      </w:r>
    </w:p>
    <w:p>
      <w:pPr>
        <w:ind w:left="420"/>
      </w:pPr>
      <w:r>
        <w:t xml:space="preserve">1. die Mitgliederversammlung,</w:t>
      </w:r>
    </w:p>
    <w:p>
      <w:pPr>
        <w:ind w:left="420"/>
      </w:pPr>
      <w:r>
        <w:t xml:space="preserve">2. der Beirat und</w:t>
      </w:r>
    </w:p>
    <w:p>
      <w:pPr>
        <w:ind w:left="420"/>
      </w:pPr>
      <w:r>
        <w:t xml:space="preserve">3. der Vorstand.</w:t>
      </w:r>
    </w:p>
    <w:p>
      <w:r>
        <w:rPr>
          <w:color w:val="555555"/>
          <w:sz w:val="17"/>
        </w:rPr>
        <w:t xml:space="preserve">Zitiervorschlag: § 14 ErdölBevG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https://recht.nulegal.eu/gesetze/Erd%C3%B6lBevG%202012/14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