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Ist anzunehmen, daß durch die Veräußerung (§ 5 Abs. 1) der mit der Bestellung des Erbbaurechts verfolgte Zweck nicht wesentlich beeinträchtigt oder gefährdet wird, und daß die Persönlichkeit des Erwerbers Gewähr für eine ordnungsmäßige Erfüllung der sich aus dem Erbbaurechtsinhalt ergebenden Verpflichtungen bietet, so kann der Erbbauberechtigte verlangen, daß der Grundstückseigentümer die Zustimmung zur Veräußerung erteilt. Dem Erbbauberechtigten kann auch für weitere Fälle ein Anspruch auf Erteilung der Zustimmung eingeräumt werden.</w:t>
      </w:r>
    </w:p>
    <w:p>
      <w:r>
        <w:t xml:space="preserve">(2) Ist eine Belastung (§ 5 Abs. 2) mit den Regeln einer ordnungsmäßigen Wirtschaft vereinbar, und wird der mit der Bestellung des Erbbaurechts verfolgte Zweck nicht wesentlich beeinträchtigt oder gefährdet, so kann der Erbbauberechtigte verlangen, daß der Grundstückseigentümer die Zustimmung zu der Belastung erteilt.</w:t>
      </w:r>
    </w:p>
    <w:p>
      <w:r>
        <w:t xml:space="preserve">(3) Wird die Zustimmung des Grundstückseigentümers ohne ausreichenden Grund verweigert, so kann sie auf Antrag des Erbbauberechtigten durch das Amtsgericht ersetzt werden, in dessen Bezirk das Grundstück belegen ist. § 40 Abs. 2 Satz 2 und Abs. 3 Satz 1, 3 und 4 und § 63 Abs. 2 Nr. 2 des Gesetzes über das Verfahren in Familiensachen und in den Angelegenheiten der freiwilligen Gerichtsbarkeit gelten entsprechend.</w:t>
      </w:r>
    </w:p>
    <w:p>
      <w:r>
        <w:rPr>
          <w:color w:val="555555"/>
          <w:sz w:val="17"/>
        </w:rPr>
        <w:t xml:space="preserve">Zitiervorschlag: § 7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