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ErbbauV</w:t>
      </w:r>
    </w:p>
    <w:p>
      <w:r>
        <w:rPr>
          <w:color w:val="555555"/>
          <w:sz w:val="18"/>
        </w:rPr>
        <w:t xml:space="preserve">Erbbaurechtsgesetz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eine Vereinbarung gemäß § 5 getroffen, so ist eine Verfügung des Erbbauberechtigten über das Erbbaurecht und ein Vertrag, durch den er sich zu einer solchen Verfügung verpflichtet, unwirksam, solange nicht der Grundstückseigentümer die erforderliche Zustimmung erteilt hat.</w:t>
      </w:r>
    </w:p>
    <w:p>
      <w:r>
        <w:t xml:space="preserve">(2) Auf eine Vereinbarung, daß ein Zuwiderhandeln des Erbbauberechtigten gegen eine nach § 5 übernommene Beschränkung einen Heimfallanspruch begründen soll, kann sich der Grundstückseigentümer nicht berufen.</w:t>
      </w:r>
    </w:p>
    <w:p>
      <w:r>
        <w:rPr>
          <w:color w:val="555555"/>
          <w:sz w:val="17"/>
        </w:rPr>
        <w:t xml:space="preserve">Zitiervorschlag: § 6 ErbbauV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https://recht.nulegal.eu/gesetze/ErbbauV/6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