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ErbbauV</w:t>
      </w:r>
    </w:p>
    <w:p>
      <w:r>
        <w:rPr>
          <w:color w:val="555555"/>
          <w:sz w:val="18"/>
        </w:rPr>
        <w:t xml:space="preserve">Erbbaurechtsgesetz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Als Inhalt des Erbbaurechts kann auch vereinbart werden, daß der Erbbauberechtigte zur Veräußerung des Erbbaurechts der Zustimmung des Grundstückseigentümers bedarf.</w:t>
      </w:r>
    </w:p>
    <w:p>
      <w:r>
        <w:t xml:space="preserve">(2) Als Inhalt des Erbbaurechts kann ferner vereinbart werden, daß der Erbbauberechtigte zur Belastung des Erbbaurechts mit einer Hypothek, Grund- oder Rentenschuld oder einer Reallast der Zustimmung des Grundstückseigentümers bedarf. Ist eine solche Vereinbarung getroffen, so kann auch eine Änderung des Inhalts der Hypothek, Grund- oder Rentenschuld oder der Reallast, die eine weitere Belastung des Erbbaurechts enthält, nicht ohne die Zustimmung des Grundstückseigentümers erfolgen.</w:t>
      </w:r>
    </w:p>
    <w:p>
      <w:r>
        <w:rPr>
          <w:color w:val="555555"/>
          <w:sz w:val="17"/>
        </w:rPr>
        <w:t xml:space="preserve">Zitiervorschlag: § 5 ErbbauV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https://recht.nulegal.eu/gesetze/ErbbauV/5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