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ErbbauV</w:t>
      </w:r>
    </w:p>
    <w:p>
      <w:r>
        <w:rPr>
          <w:color w:val="555555"/>
          <w:sz w:val="18"/>
        </w:rPr>
        <w:t xml:space="preserve">Erbbaurechtsgesetz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nach dem Inkrafttreten des Gesetzes zur Änderung der Verordnung über das Erbbaurecht vom 8. Januar 1974 (BGBl. I S. 41) am 23. Januar 1974 fällig werdende Erbbauzinsen ist § 9a auch bei Vereinbarungen des dort bezeichneten Inhalts anzuwenden, die vor dem 23. Januar 1974 geschlossen worden sind.</w:t>
      </w:r>
    </w:p>
    <w:p>
      <w:r>
        <w:t xml:space="preserve">(2) Ist der Erbbauzins auf Grund einer Vereinbarung nach Absatz 1 vor dem 23. Januar 1974 erhöht worden, so behält es hierbei sein Bewenden. Der Erbbauberechtigte kann jedoch für die Zukunft eine bei entsprechender Anwendung der in Absatz 1 genannten Vorschrift gerechtfertigte Herabsetzung dann verlangen, wenn das Bestehenbleiben der Erhöhung für ihn angesichts der Umstände des Einzelfalles eine besondere Härte wäre.</w:t>
      </w:r>
    </w:p>
    <w:p>
      <w:r>
        <w:rPr>
          <w:color w:val="555555"/>
          <w:sz w:val="17"/>
        </w:rPr>
        <w:t xml:space="preserve">Zitiervorschlag: § 35 ErbbauV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https://recht.nulegal.eu/gesetze/ErbbauV/35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