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Beim Heimfall des Erbbaurechts bleiben die Hypotheken, Grund- und Rentenschulden und Reallasten bestehen, soweit sie nicht dem Erbbauberechtigten selbst zustehen. Dasselbe gilt für die Vormerkung eines gesetzlichen Anspruchs auf Eintragung einer Sicherungshypothek. Andere auf dem Erbbaurecht lastende Rechte erlöschen.</w:t>
      </w:r>
    </w:p>
    <w:p>
      <w:r>
        <w:t xml:space="preserve">(2) Haftet bei einer Hypothek, die bestehen bleibt, der Erbbauberechtigte zugleich persönlich, so übernimmt der Grundstückseigentümer die Schuld in Höhe der Hypothek. Die Vorschriften des § 416 des Bürgerlichen Gesetzbuchs finden entsprechende Anwendung. Das gleiche gilt, wenn bei einer bestehenbleibenden Grundschuld oder bei Rückständen aus Rentenschulden oder Reallasten der Erbbauberechtigte zugleich persönlich haftet.</w:t>
      </w:r>
    </w:p>
    <w:p>
      <w:r>
        <w:t xml:space="preserve">(3) Die Forderungen, die der Grundstückseigentümer nach Absatz 2 übernimmt, werden auf die Vergütung (§ 32) angerechnet.</w:t>
      </w:r>
    </w:p>
    <w:p>
      <w:r>
        <w:rPr>
          <w:color w:val="555555"/>
          <w:sz w:val="17"/>
        </w:rPr>
        <w:t xml:space="preserve">Zitiervorschlag: § 33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