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(1) Ist dem Erbbauberechtigten ein Vorrecht auf Erneuerung des Erbbaurechts eingeräumt (§ 2 Nr. 6), so kann er das Vorrecht ausüben, sobald der Eigentümer mit einem Dritten einen Vertrag über Bestellung eines Erbbaurechts an dem Grundstück geschlossen hat. Die Ausübung des Vorrechts ist ausgeschlossen, wenn das für den Dritten zu bestellende Erbbaurecht einem anderen wirtschaftlichen Zweck zu dienen bestimmt ist.</w:t>
      </w:r>
    </w:p>
    <w:p>
      <w:r>
        <w:t xml:space="preserve">(2) Das Vorrecht erlischt drei Jahre nach Ablauf der Zeit, für die das Erbbaurecht bestellt war.</w:t>
      </w:r>
    </w:p>
    <w:p>
      <w:r>
        <w:t xml:space="preserve">(3) Die Vorschriften der §§ 464 bis 469, 472, 473 des Bürgerlichen Gesetzbuches finden entsprechende Anwendung.</w:t>
      </w:r>
    </w:p>
    <w:p>
      <w:r>
        <w:t xml:space="preserve">(4) Dritten gegenüber hat das Vorrecht die Wirkung einer Vormerkung zur Sicherung eines Anspruchs auf Einräumung des Erbbaurechts. Die §§ 1099 bis 1102 des Bürgerlichen Gesetzbuchs gelten entsprechend. Wird das Erbbaurecht vor Ablauf der drei Jahre (Abs. 2) im Grundbuch gelöscht, so ist zur Erhaltung des Vorrechts eine Vormerkung mit dem bisherigen Rang des Erbbaurechts von Amts wegen einzutragen.</w:t>
      </w:r>
    </w:p>
    <w:p>
      <w:r>
        <w:t xml:space="preserve">(5) Soweit im Falle des § 29 die Tilgung noch nicht erfolgt ist, hat der Gläubiger bei der Erneuerung an dem Erbbaurecht dieselben Rechte, die er zur Zeit des Ablaufs hatte. Die Rechte an der Entschädigungsforderung erlöschen.</w:t>
      </w:r>
    </w:p>
    <w:p>
      <w:r>
        <w:rPr>
          <w:color w:val="555555"/>
          <w:sz w:val="17"/>
        </w:rPr>
        <w:t xml:space="preserve">Zitiervorschlag: § 31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