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Erlischt das Erbbaurecht durch Zeitablauf, so hat der Grundstückseigentümer dem Erbbauberechtigten eine Entschädigung für das Bauwerk zu leisten. Als Inhalt des Erbbaurechts können Vereinbarungen über die Höhe der Entschädigung und die Art ihrer Zahlung sowie über ihre Ausschließung getroffen werden.</w:t>
      </w:r>
    </w:p>
    <w:p>
      <w:r>
        <w:t xml:space="preserve">(2) Ist das Erbbaurecht zur Befriedigung des Wohnbedürfnisses minderbemittelter Bevölkerungskreise bestellt, so muß die Entschädigung mindestens zwei Dritteile des gemeinen Wertes betragen, den das Bauwerk bei Ablauf des Erbbaurechts hat. Auf eine abweichende Vereinbarung kann sich der Grundstückseigentümer nicht berufen.</w:t>
      </w:r>
    </w:p>
    <w:p>
      <w:r>
        <w:t xml:space="preserve">(3) Der Grundstückseigentümer kann seine Verpflichtung zur Zahlung der Entschädigung dadurch abwenden, daß er dem Erbbauberechtigten das Erbbaurecht vor dessen Ablauf für die voraussichtliche Standdauer des Bauwerks verlängert; lehnt der Erbbauberechtigte die Verlängerung ab, so erlischt der Anspruch auf Entschädigung. Das Erbbaurecht kann zur Abwendung der Entschädigungspflicht wiederholt verlängert werden.</w:t>
      </w:r>
    </w:p>
    <w:p>
      <w:r>
        <w:t xml:space="preserve">(4) Vor Eintritt der Fälligkeit kann der Anspruch auf Entschädigung nicht abgetreten werden.</w:t>
      </w:r>
    </w:p>
    <w:p>
      <w:r>
        <w:rPr>
          <w:color w:val="555555"/>
          <w:sz w:val="17"/>
        </w:rPr>
        <w:t xml:space="preserve">Zitiervorschlag: § 27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