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ErbbauV</w:t>
      </w:r>
    </w:p>
    <w:p>
      <w:r>
        <w:rPr>
          <w:color w:val="555555"/>
          <w:sz w:val="18"/>
        </w:rPr>
        <w:t xml:space="preserve">Erbbaurechtsgesetz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Landesgesetzgebung kann für die innerhalb ihres Geltungsbereichs belegenen Grundstücke</w:t>
      </w:r>
    </w:p>
    <w:p>
      <w:pPr>
        <w:ind w:left="420"/>
      </w:pPr>
      <w:r>
        <w:t xml:space="preserve">1. die Mündelsicherheit der Erbbaurechtshypotheken abweichend von den Vorschriften der §§ 18 bis 20 regeln,</w:t>
      </w:r>
    </w:p>
    <w:p>
      <w:pPr>
        <w:ind w:left="420"/>
      </w:pPr>
      <w:r>
        <w:t xml:space="preserve">2. bestimmen, in welcher Weise festzustellen ist, ob die Voraussetzungen für die Mündelsicherheit (§§ 19, 20) vorliegen.</w:t>
      </w:r>
    </w:p>
    <w:p>
      <w:r>
        <w:rPr>
          <w:color w:val="555555"/>
          <w:sz w:val="17"/>
        </w:rPr>
        <w:t xml:space="preserve">Zitiervorschlag: § 22 ErbbauV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https://recht.nulegal.eu/gesetze/ErbbauV/22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