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planmäßige Tilgung der Hypothek muß</w:t>
      </w:r>
    </w:p>
    <w:p>
      <w:pPr>
        <w:ind w:left="420"/>
      </w:pPr>
      <w:r>
        <w:t xml:space="preserve">1. unter Zuwachs der ersparten Zinsen erfolgen,</w:t>
      </w:r>
    </w:p>
    <w:p>
      <w:pPr>
        <w:ind w:left="420"/>
      </w:pPr>
      <w:r>
        <w:t xml:space="preserve">2. spätestens mit dem Anfang des vierten auf die Gewährung des Hypothekenkapitals folgenden Kalenderjahrs beginnen,</w:t>
      </w:r>
    </w:p>
    <w:p>
      <w:pPr>
        <w:ind w:left="420"/>
      </w:pPr>
      <w:r>
        <w:t xml:space="preserve">3. spätestens zehn Jahre vor Ablauf des Erbbaurechts endigen und darf</w:t>
      </w:r>
    </w:p>
    <w:p>
      <w:pPr>
        <w:ind w:left="420"/>
      </w:pPr>
      <w:r>
        <w:t xml:space="preserve">4. nicht länger dauern, als zur buchmäßigen Abschreibung des Bauwerks nach wirtschaftlichen Grundsätzen erforderlich ist.</w:t>
      </w:r>
    </w:p>
    <w:p>
      <w:r>
        <w:t xml:space="preserve">(2) Das Erbbaurecht muß mindestens noch so lange laufen, daß eine den Vorschriften des Absatzes 1 entsprechende Tilgung der Hypothek für jeden Erbbauberechtigten oder seine Rechtsnachfolger aus den Erträgen des Erbbaurechts möglich ist.</w:t>
      </w:r>
    </w:p>
    <w:p>
      <w:r>
        <w:rPr>
          <w:color w:val="555555"/>
          <w:sz w:val="17"/>
        </w:rPr>
        <w:t xml:space="preserve">Zitiervorschlag: § 20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