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ErbbauV</w:t>
      </w:r>
    </w:p>
    <w:p>
      <w:r>
        <w:rPr>
          <w:color w:val="555555"/>
          <w:sz w:val="18"/>
        </w:rPr>
        <w:t xml:space="preserve">Erbbaurechtsgesetz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 Eintragung in das Erbbaugrundbuch soll auch dem Grundstückseigentümer, die Eintragung von Verfügungsbeschränkungen des Erbbauberechtigten den im Erbbaugrundbuch eingetragenen dinglich Berechtigten bekanntgemacht werden. Im übrigen sind § 44 Abs. 2, 3, § 55 Abs. 1 bis 3, 5 bis 8, §§ 55a und 55b der Grundbuchordnung entsprechend anzuwenden.</w:t>
      </w:r>
    </w:p>
    <w:p>
      <w:r>
        <w:t xml:space="preserve">(2) Dem Erbbauberechtigten soll die Eintragung eines Grundstückseigentümers, die Eintragung von Verfügungsbeschränkungen des Grundstückseigentümers sowie die Eintragung eines Widerspruchs gegen die Eintragung des Eigentümers in das Grundbuch des Grundstücks bekanntgemacht werden.</w:t>
      </w:r>
    </w:p>
    <w:p>
      <w:r>
        <w:t xml:space="preserve">(3) Auf die Bekanntmachung kann verzichtet werden.</w:t>
      </w:r>
    </w:p>
    <w:p>
      <w:r>
        <w:rPr>
          <w:color w:val="555555"/>
          <w:sz w:val="17"/>
        </w:rPr>
        <w:t xml:space="preserve">Zitiervorschlag: § 17 ErbbauV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https://recht.nulegal.eu/gesetze/ErbbauV/17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