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ErbbauV</w:t>
      </w:r>
    </w:p>
    <w:p>
      <w:r>
        <w:rPr>
          <w:color w:val="555555"/>
          <w:sz w:val="18"/>
        </w:rPr>
        <w:t xml:space="preserve">Erbbaurechtsgesetz</w:t>
      </w:r>
    </w:p>
    <w:p>
      <w:r>
        <w:rPr>
          <w:color w:val="555555"/>
          <w:sz w:val="18"/>
        </w:rPr>
        <w:t xml:space="preserve">Stand: 10.06.2019 (konsolidierte Textfassung, kein amtliches Inkrafttretensdatum)</w:t>
      </w:r>
    </w:p>
    <w:p>
      <w:r>
        <w:t xml:space="preserve">(1) Für das Erbbaurecht wird bei der Eintragung in das Grundbuch von Amts wegen ein besonderes Grundbuchblatt (Erbbaugrundbuch) angelegt. Im Erbbaugrundbuch sind auch der Eigentümer und jeder spätere Erwerber des Grundstücks zu vermerken. Zur näheren Bezeichnung des Inhalts des Erbbaurechts kann auf die Eintragungsbewilligung Bezug genommen werden.</w:t>
      </w:r>
    </w:p>
    <w:p>
      <w:r>
        <w:t xml:space="preserve">(2) Bei der Eintragung im Grundbuch des Grundstücks ist zur näheren Bezeichnung des Inhalts des Erbbaurechts auf das Erbbaugrundbuch Bezug zu nehmen.</w:t>
      </w:r>
    </w:p>
    <w:p>
      <w:r>
        <w:t xml:space="preserve">(3) Das Erbbaugrundbuch ist für das Erbbaurecht das Grundbuch im Sinne des Bürgerlichen Gesetzbuchs. Die Eintragung eines neuen Erbbauberechtigten ist unverzüglich auf dem Blatte des Grundstücks zu vermerken. Bei Wohnungs- und Teilerbbauberechtigten wird der Vermerk durch Bezugnahme auf die Wohnungs- und Teilerbbaugrundbücher ersetzt.</w:t>
      </w:r>
    </w:p>
    <w:p>
      <w:r>
        <w:t xml:space="preserve">(4) Die Landesregierungen werden ermächtigt, durch Rechtsverordnung zu bestimmen, dass die Vermerke nach Absatz 1 Satz 2 und Absatz 3 Satz 2 automatisiert angebracht werden, wenn das Grundbuch und das Erbbaugrundbuch als Datenbankgrundbuch geführt werden. Die Anordnung kann auf einzelne Grundbuchämter sowie auf einzelne Grundbuchblätter beschränkt werden. Die Landesregierungen können die Ermächtigung durch Rechtsverordnung auf die Landesjustizverwaltungen übertragen.</w:t>
      </w:r>
    </w:p>
    <w:p>
      <w:r>
        <w:rPr>
          <w:color w:val="555555"/>
          <w:sz w:val="17"/>
        </w:rPr>
        <w:t xml:space="preserve">Zitiervorschlag: § 14 ErbbauV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https://recht.nulegal.eu/gesetze/ErbbauV/14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