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Das Erbbaurecht kann nur zur ausschließlich ersten Rangstelle bestellt werden; der Rang kann nicht geändert werden. Rechte, die zur Erhaltung der Wirksamkeit gegenüber dem öffentlichen Glauben des Grundbuchs der Eintragung nicht bedürfen, bleiben außer Betracht.</w:t>
      </w:r>
    </w:p>
    <w:p>
      <w:r>
        <w:t xml:space="preserve">(2) Die Landesregierungen werden ermächtigt, durch Rechtsverordnung zu bestimmen, dass bei der Bestellung des Erbbaurechts von dem Erfordernis der ersten Rangstelle abgewichen werden kann, wenn dies für die vorhergehenden Berechtigten und den Bestand des Erbbaurechts unschädlich ist.</w:t>
      </w:r>
    </w:p>
    <w:p>
      <w:r>
        <w:rPr>
          <w:color w:val="555555"/>
          <w:sz w:val="17"/>
        </w:rPr>
        <w:t xml:space="preserve">Zitiervorschlag: § 10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